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511001M00016</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90/2026/RatsgartenStadtmauer-L2/VOB-öA</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Gestaltung des Ratsgarten und Sanierung der angrenzenden Stadtmauer; Los 2 - Landschaftsbauarbeiten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